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BD" w:rsidRDefault="007217BD"/>
    <w:p w:rsidR="00A20791" w:rsidRDefault="00A20791" w:rsidP="00A20791">
      <w:pPr>
        <w:jc w:val="right"/>
        <w:rPr>
          <w:sz w:val="22"/>
          <w:szCs w:val="22"/>
        </w:rPr>
      </w:pPr>
      <w:r w:rsidRPr="00124359">
        <w:rPr>
          <w:sz w:val="22"/>
          <w:szCs w:val="22"/>
        </w:rPr>
        <w:t>Приложение</w:t>
      </w:r>
    </w:p>
    <w:p w:rsidR="00A20791" w:rsidRDefault="00A20791" w:rsidP="00A20791">
      <w:pPr>
        <w:jc w:val="right"/>
        <w:rPr>
          <w:sz w:val="22"/>
          <w:szCs w:val="22"/>
        </w:rPr>
      </w:pPr>
    </w:p>
    <w:p w:rsidR="00A20791" w:rsidRPr="00A20791" w:rsidRDefault="00A20791" w:rsidP="00A20791">
      <w:pPr>
        <w:widowControl w:val="0"/>
        <w:tabs>
          <w:tab w:val="left" w:pos="540"/>
          <w:tab w:val="left" w:pos="1080"/>
        </w:tabs>
        <w:autoSpaceDE w:val="0"/>
        <w:autoSpaceDN w:val="0"/>
        <w:adjustRightInd w:val="0"/>
        <w:jc w:val="both"/>
        <w:rPr>
          <w:sz w:val="22"/>
          <w:szCs w:val="22"/>
        </w:rPr>
      </w:pPr>
      <w:r w:rsidRPr="00462B5F">
        <w:rPr>
          <w:sz w:val="24"/>
          <w:szCs w:val="24"/>
        </w:rPr>
        <w:tab/>
      </w:r>
      <w:proofErr w:type="gramStart"/>
      <w:r w:rsidRPr="00A20791">
        <w:rPr>
          <w:sz w:val="22"/>
          <w:szCs w:val="22"/>
        </w:rPr>
        <w:t>Регулярные пассажирские перевозки на муниципальным маршрута регулярных перевозок №№ 1-а, 4-а, 5-б, 103-а, 106-а, 115-а предполагается  осуществлять с 01.07.2020 года по согласованным с Администрацией расписаниям движения транспортных средств на маршрутах с использованием транспортных средств:</w:t>
      </w:r>
      <w:proofErr w:type="gramEnd"/>
    </w:p>
    <w:p w:rsidR="00A20791" w:rsidRPr="00A20791" w:rsidRDefault="00A20791" w:rsidP="00A20791">
      <w:pPr>
        <w:widowControl w:val="0"/>
        <w:tabs>
          <w:tab w:val="left" w:pos="540"/>
          <w:tab w:val="left" w:pos="1080"/>
        </w:tabs>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611"/>
        <w:gridCol w:w="2278"/>
        <w:gridCol w:w="2432"/>
        <w:gridCol w:w="1441"/>
      </w:tblGrid>
      <w:tr w:rsidR="00A20791" w:rsidRPr="00A20791" w:rsidTr="009D4BB4">
        <w:tc>
          <w:tcPr>
            <w:tcW w:w="72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 xml:space="preserve">№ </w:t>
            </w:r>
            <w:proofErr w:type="gramStart"/>
            <w:r w:rsidRPr="00A20791">
              <w:t>п</w:t>
            </w:r>
            <w:proofErr w:type="gramEnd"/>
            <w:r w:rsidRPr="00A20791">
              <w:t>/п</w:t>
            </w:r>
          </w:p>
        </w:tc>
        <w:tc>
          <w:tcPr>
            <w:tcW w:w="270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Номер и наименование маршрута, вид сообщения, протяженность мар</w:t>
            </w:r>
            <w:bookmarkStart w:id="0" w:name="_GoBack"/>
            <w:bookmarkEnd w:id="0"/>
            <w:r w:rsidRPr="00A20791">
              <w:t xml:space="preserve">шрута </w:t>
            </w:r>
          </w:p>
        </w:tc>
        <w:tc>
          <w:tcPr>
            <w:tcW w:w="234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Характеристики транспортных средств, необходимых для осуществления перевозок по маршруту регулярных перевозок (виды, классы и др.)</w:t>
            </w:r>
          </w:p>
        </w:tc>
        <w:tc>
          <w:tcPr>
            <w:tcW w:w="2520" w:type="dxa"/>
            <w:shd w:val="clear" w:color="auto" w:fill="auto"/>
          </w:tcPr>
          <w:p w:rsidR="00A20791" w:rsidRPr="00A20791" w:rsidRDefault="00A20791" w:rsidP="009D4BB4">
            <w:pPr>
              <w:jc w:val="center"/>
            </w:pPr>
            <w:r w:rsidRPr="00A20791">
              <w:t xml:space="preserve">Максимальное количество транспортных средств каждого класса, которое допускается  использовать для перевозок по маршруту регулярных перевозок </w:t>
            </w:r>
          </w:p>
          <w:p w:rsidR="00A20791" w:rsidRPr="00A20791" w:rsidRDefault="00A20791" w:rsidP="009D4BB4">
            <w:pPr>
              <w:widowControl w:val="0"/>
              <w:tabs>
                <w:tab w:val="left" w:pos="540"/>
                <w:tab w:val="left" w:pos="1080"/>
              </w:tabs>
              <w:autoSpaceDE w:val="0"/>
              <w:autoSpaceDN w:val="0"/>
              <w:adjustRightInd w:val="0"/>
              <w:jc w:val="center"/>
            </w:pPr>
            <w:r w:rsidRPr="00A20791">
              <w:t>(ед.)</w:t>
            </w:r>
          </w:p>
        </w:tc>
        <w:tc>
          <w:tcPr>
            <w:tcW w:w="1465"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Резервное количество ТС, класс ТС</w:t>
            </w:r>
          </w:p>
        </w:tc>
      </w:tr>
      <w:tr w:rsidR="00A20791" w:rsidRPr="00A20791" w:rsidTr="009D4BB4">
        <w:tc>
          <w:tcPr>
            <w:tcW w:w="72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1</w:t>
            </w:r>
          </w:p>
        </w:tc>
        <w:tc>
          <w:tcPr>
            <w:tcW w:w="270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 xml:space="preserve">№ 1-а «КАЗ – Кольцевая», городское, </w:t>
            </w:r>
          </w:p>
          <w:p w:rsidR="00A20791" w:rsidRPr="00A20791" w:rsidRDefault="00A20791" w:rsidP="009D4BB4">
            <w:pPr>
              <w:widowControl w:val="0"/>
              <w:tabs>
                <w:tab w:val="left" w:pos="540"/>
                <w:tab w:val="left" w:pos="1080"/>
              </w:tabs>
              <w:autoSpaceDE w:val="0"/>
              <w:autoSpaceDN w:val="0"/>
              <w:adjustRightInd w:val="0"/>
              <w:jc w:val="center"/>
            </w:pPr>
            <w:smartTag w:uri="urn:schemas-microsoft-com:office:smarttags" w:element="metricconverter">
              <w:smartTagPr>
                <w:attr w:name="ProductID" w:val="8,7 км"/>
              </w:smartTagPr>
              <w:r w:rsidRPr="00A20791">
                <w:t>8,7 км</w:t>
              </w:r>
            </w:smartTag>
          </w:p>
        </w:tc>
        <w:tc>
          <w:tcPr>
            <w:tcW w:w="2340" w:type="dxa"/>
            <w:shd w:val="clear" w:color="auto" w:fill="auto"/>
          </w:tcPr>
          <w:p w:rsidR="00A20791" w:rsidRPr="00A20791" w:rsidRDefault="00A20791" w:rsidP="009D4BB4">
            <w:pPr>
              <w:jc w:val="center"/>
            </w:pPr>
            <w:r w:rsidRPr="00A20791">
              <w:t>Автобус, большой класс (иной класс по согласованию с организатором)</w:t>
            </w:r>
          </w:p>
        </w:tc>
        <w:tc>
          <w:tcPr>
            <w:tcW w:w="252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2 единицы, большой</w:t>
            </w:r>
          </w:p>
        </w:tc>
        <w:tc>
          <w:tcPr>
            <w:tcW w:w="1465"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 xml:space="preserve">1 единица, </w:t>
            </w:r>
            <w:proofErr w:type="gramStart"/>
            <w:r w:rsidRPr="00A20791">
              <w:t>большой</w:t>
            </w:r>
            <w:proofErr w:type="gramEnd"/>
          </w:p>
        </w:tc>
      </w:tr>
      <w:tr w:rsidR="00A20791" w:rsidRPr="00A20791" w:rsidTr="009D4BB4">
        <w:tc>
          <w:tcPr>
            <w:tcW w:w="72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2</w:t>
            </w:r>
          </w:p>
        </w:tc>
        <w:tc>
          <w:tcPr>
            <w:tcW w:w="270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 4-а «Центральная – ДРСУ», городское,</w:t>
            </w:r>
          </w:p>
          <w:p w:rsidR="00A20791" w:rsidRPr="00A20791" w:rsidRDefault="00A20791" w:rsidP="009D4BB4">
            <w:pPr>
              <w:widowControl w:val="0"/>
              <w:tabs>
                <w:tab w:val="left" w:pos="540"/>
                <w:tab w:val="left" w:pos="1080"/>
              </w:tabs>
              <w:autoSpaceDE w:val="0"/>
              <w:autoSpaceDN w:val="0"/>
              <w:adjustRightInd w:val="0"/>
              <w:jc w:val="center"/>
            </w:pPr>
            <w:smartTag w:uri="urn:schemas-microsoft-com:office:smarttags" w:element="metricconverter">
              <w:smartTagPr>
                <w:attr w:name="ProductID" w:val="6,7 км"/>
              </w:smartTagPr>
              <w:r w:rsidRPr="00A20791">
                <w:t>6,7 км</w:t>
              </w:r>
            </w:smartTag>
          </w:p>
        </w:tc>
        <w:tc>
          <w:tcPr>
            <w:tcW w:w="2340" w:type="dxa"/>
            <w:shd w:val="clear" w:color="auto" w:fill="auto"/>
          </w:tcPr>
          <w:p w:rsidR="00A20791" w:rsidRPr="00A20791" w:rsidRDefault="00A20791" w:rsidP="009D4BB4">
            <w:pPr>
              <w:jc w:val="center"/>
            </w:pPr>
            <w:r w:rsidRPr="00A20791">
              <w:t>Автобус, малый класс (иной класс по согласованию с организатором)</w:t>
            </w:r>
          </w:p>
        </w:tc>
        <w:tc>
          <w:tcPr>
            <w:tcW w:w="252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2 единицы, малый</w:t>
            </w:r>
          </w:p>
        </w:tc>
        <w:tc>
          <w:tcPr>
            <w:tcW w:w="1465"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1 единица, малый</w:t>
            </w:r>
          </w:p>
        </w:tc>
      </w:tr>
      <w:tr w:rsidR="00A20791" w:rsidRPr="00A20791" w:rsidTr="009D4BB4">
        <w:tc>
          <w:tcPr>
            <w:tcW w:w="72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3</w:t>
            </w:r>
          </w:p>
        </w:tc>
        <w:tc>
          <w:tcPr>
            <w:tcW w:w="270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 xml:space="preserve">№ 5-б «ул.Восточная - ул.Наймушина», </w:t>
            </w:r>
            <w:proofErr w:type="gramStart"/>
            <w:r w:rsidRPr="00A20791">
              <w:t>городское</w:t>
            </w:r>
            <w:proofErr w:type="gramEnd"/>
            <w:r w:rsidRPr="00A20791">
              <w:t xml:space="preserve">, </w:t>
            </w:r>
            <w:smartTag w:uri="urn:schemas-microsoft-com:office:smarttags" w:element="metricconverter">
              <w:smartTagPr>
                <w:attr w:name="ProductID" w:val="9,1 км"/>
              </w:smartTagPr>
              <w:r w:rsidRPr="00A20791">
                <w:t>9,1 км</w:t>
              </w:r>
            </w:smartTag>
          </w:p>
        </w:tc>
        <w:tc>
          <w:tcPr>
            <w:tcW w:w="2340" w:type="dxa"/>
            <w:shd w:val="clear" w:color="auto" w:fill="auto"/>
          </w:tcPr>
          <w:p w:rsidR="00A20791" w:rsidRPr="00A20791" w:rsidRDefault="00A20791" w:rsidP="009D4BB4">
            <w:pPr>
              <w:jc w:val="center"/>
            </w:pPr>
            <w:r w:rsidRPr="00A20791">
              <w:t>Автобус большой и  малый класс (иной класс по согласованию с организатором)</w:t>
            </w:r>
          </w:p>
        </w:tc>
        <w:tc>
          <w:tcPr>
            <w:tcW w:w="252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2 ед. из них: большой класс – 1 ед.; малый класс – 1 ед.</w:t>
            </w:r>
          </w:p>
        </w:tc>
        <w:tc>
          <w:tcPr>
            <w:tcW w:w="1465"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 xml:space="preserve">1 единица, </w:t>
            </w:r>
            <w:proofErr w:type="gramStart"/>
            <w:r w:rsidRPr="00A20791">
              <w:t>большой</w:t>
            </w:r>
            <w:proofErr w:type="gramEnd"/>
            <w:r w:rsidRPr="00A20791">
              <w:t>;</w:t>
            </w:r>
          </w:p>
          <w:p w:rsidR="00A20791" w:rsidRPr="00A20791" w:rsidRDefault="00A20791" w:rsidP="009D4BB4">
            <w:pPr>
              <w:widowControl w:val="0"/>
              <w:tabs>
                <w:tab w:val="left" w:pos="540"/>
                <w:tab w:val="left" w:pos="1080"/>
              </w:tabs>
              <w:autoSpaceDE w:val="0"/>
              <w:autoSpaceDN w:val="0"/>
              <w:adjustRightInd w:val="0"/>
              <w:jc w:val="center"/>
            </w:pPr>
            <w:r w:rsidRPr="00A20791">
              <w:t>1 единица, малый</w:t>
            </w:r>
          </w:p>
        </w:tc>
      </w:tr>
      <w:tr w:rsidR="00A20791" w:rsidRPr="00A20791" w:rsidTr="009D4BB4">
        <w:tc>
          <w:tcPr>
            <w:tcW w:w="72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4</w:t>
            </w:r>
          </w:p>
        </w:tc>
        <w:tc>
          <w:tcPr>
            <w:tcW w:w="270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 xml:space="preserve">№ 103-а «Кандалакша – Лупче-Савино-2», </w:t>
            </w:r>
            <w:proofErr w:type="gramStart"/>
            <w:r w:rsidRPr="00A20791">
              <w:t>пригородное</w:t>
            </w:r>
            <w:proofErr w:type="gramEnd"/>
            <w:r w:rsidRPr="00A20791">
              <w:t xml:space="preserve">, </w:t>
            </w:r>
            <w:smartTag w:uri="urn:schemas-microsoft-com:office:smarttags" w:element="metricconverter">
              <w:smartTagPr>
                <w:attr w:name="ProductID" w:val="12,5 км"/>
              </w:smartTagPr>
              <w:r w:rsidRPr="00A20791">
                <w:t>12,5 км</w:t>
              </w:r>
            </w:smartTag>
          </w:p>
        </w:tc>
        <w:tc>
          <w:tcPr>
            <w:tcW w:w="2340" w:type="dxa"/>
            <w:shd w:val="clear" w:color="auto" w:fill="auto"/>
          </w:tcPr>
          <w:p w:rsidR="00A20791" w:rsidRPr="00A20791" w:rsidRDefault="00A20791" w:rsidP="009D4BB4">
            <w:pPr>
              <w:jc w:val="center"/>
            </w:pPr>
            <w:r w:rsidRPr="00A20791">
              <w:t>Автобус малый класс (иной класс по согласованию с организатором)</w:t>
            </w:r>
          </w:p>
        </w:tc>
        <w:tc>
          <w:tcPr>
            <w:tcW w:w="252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2 единицы, малый</w:t>
            </w:r>
          </w:p>
        </w:tc>
        <w:tc>
          <w:tcPr>
            <w:tcW w:w="1465"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1 единица, малый</w:t>
            </w:r>
          </w:p>
        </w:tc>
      </w:tr>
      <w:tr w:rsidR="00A20791" w:rsidRPr="00A20791" w:rsidTr="009D4BB4">
        <w:tc>
          <w:tcPr>
            <w:tcW w:w="72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5</w:t>
            </w:r>
          </w:p>
        </w:tc>
        <w:tc>
          <w:tcPr>
            <w:tcW w:w="270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 xml:space="preserve">№ 106-а «Кандалакша – Колвица», </w:t>
            </w:r>
            <w:proofErr w:type="gramStart"/>
            <w:r w:rsidRPr="00A20791">
              <w:t>пригородное</w:t>
            </w:r>
            <w:proofErr w:type="gramEnd"/>
            <w:r w:rsidRPr="00A20791">
              <w:t xml:space="preserve">, </w:t>
            </w:r>
            <w:smartTag w:uri="urn:schemas-microsoft-com:office:smarttags" w:element="metricconverter">
              <w:smartTagPr>
                <w:attr w:name="ProductID" w:val="32,4 км"/>
              </w:smartTagPr>
              <w:r w:rsidRPr="00A20791">
                <w:t>32,4 км</w:t>
              </w:r>
            </w:smartTag>
          </w:p>
        </w:tc>
        <w:tc>
          <w:tcPr>
            <w:tcW w:w="2340" w:type="dxa"/>
            <w:shd w:val="clear" w:color="auto" w:fill="auto"/>
          </w:tcPr>
          <w:p w:rsidR="00A20791" w:rsidRPr="00A20791" w:rsidRDefault="00A20791" w:rsidP="009D4BB4">
            <w:pPr>
              <w:jc w:val="center"/>
            </w:pPr>
            <w:r w:rsidRPr="00A20791">
              <w:t>Автобус большой и малый класс (иной класс по согласованию с организатором)</w:t>
            </w:r>
          </w:p>
        </w:tc>
        <w:tc>
          <w:tcPr>
            <w:tcW w:w="252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 xml:space="preserve">2 единицы, из них: </w:t>
            </w:r>
          </w:p>
          <w:p w:rsidR="00A20791" w:rsidRPr="00A20791" w:rsidRDefault="00A20791" w:rsidP="009D4BB4">
            <w:pPr>
              <w:widowControl w:val="0"/>
              <w:tabs>
                <w:tab w:val="left" w:pos="540"/>
                <w:tab w:val="left" w:pos="1080"/>
              </w:tabs>
              <w:autoSpaceDE w:val="0"/>
              <w:autoSpaceDN w:val="0"/>
              <w:adjustRightInd w:val="0"/>
              <w:jc w:val="center"/>
            </w:pPr>
            <w:r w:rsidRPr="00A20791">
              <w:t xml:space="preserve">1 единица – </w:t>
            </w:r>
            <w:proofErr w:type="gramStart"/>
            <w:r w:rsidRPr="00A20791">
              <w:t>большой</w:t>
            </w:r>
            <w:proofErr w:type="gramEnd"/>
            <w:r w:rsidRPr="00A20791">
              <w:t>;</w:t>
            </w:r>
          </w:p>
          <w:p w:rsidR="00A20791" w:rsidRPr="00A20791" w:rsidRDefault="00A20791" w:rsidP="009D4BB4">
            <w:pPr>
              <w:widowControl w:val="0"/>
              <w:tabs>
                <w:tab w:val="left" w:pos="540"/>
                <w:tab w:val="left" w:pos="1080"/>
              </w:tabs>
              <w:autoSpaceDE w:val="0"/>
              <w:autoSpaceDN w:val="0"/>
              <w:adjustRightInd w:val="0"/>
              <w:jc w:val="center"/>
            </w:pPr>
            <w:r w:rsidRPr="00A20791">
              <w:t>1 единица - малый</w:t>
            </w:r>
          </w:p>
        </w:tc>
        <w:tc>
          <w:tcPr>
            <w:tcW w:w="1465"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1 единица, большой, 1 единица малый</w:t>
            </w:r>
          </w:p>
        </w:tc>
      </w:tr>
      <w:tr w:rsidR="00A20791" w:rsidRPr="00A20791" w:rsidTr="009D4BB4">
        <w:tc>
          <w:tcPr>
            <w:tcW w:w="72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6</w:t>
            </w:r>
          </w:p>
        </w:tc>
        <w:tc>
          <w:tcPr>
            <w:tcW w:w="270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 xml:space="preserve">№ 115-а «Кандалакша – Белое Море», пригородное, </w:t>
            </w:r>
            <w:smartTag w:uri="urn:schemas-microsoft-com:office:smarttags" w:element="metricconverter">
              <w:smartTagPr>
                <w:attr w:name="ProductID" w:val="28,0 км"/>
              </w:smartTagPr>
              <w:r w:rsidRPr="00A20791">
                <w:t>28,0 км</w:t>
              </w:r>
            </w:smartTag>
          </w:p>
        </w:tc>
        <w:tc>
          <w:tcPr>
            <w:tcW w:w="2340" w:type="dxa"/>
            <w:shd w:val="clear" w:color="auto" w:fill="auto"/>
          </w:tcPr>
          <w:p w:rsidR="00A20791" w:rsidRPr="00A20791" w:rsidRDefault="00A20791" w:rsidP="009D4BB4">
            <w:pPr>
              <w:jc w:val="center"/>
            </w:pPr>
            <w:r w:rsidRPr="00A20791">
              <w:t>Автобус большой и малый класс (иной класс по согласованию с организатором)</w:t>
            </w:r>
          </w:p>
        </w:tc>
        <w:tc>
          <w:tcPr>
            <w:tcW w:w="2520"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 xml:space="preserve">2 единицы, из них: </w:t>
            </w:r>
          </w:p>
          <w:p w:rsidR="00A20791" w:rsidRPr="00A20791" w:rsidRDefault="00A20791" w:rsidP="009D4BB4">
            <w:pPr>
              <w:widowControl w:val="0"/>
              <w:tabs>
                <w:tab w:val="left" w:pos="540"/>
                <w:tab w:val="left" w:pos="1080"/>
              </w:tabs>
              <w:autoSpaceDE w:val="0"/>
              <w:autoSpaceDN w:val="0"/>
              <w:adjustRightInd w:val="0"/>
              <w:jc w:val="center"/>
            </w:pPr>
            <w:r w:rsidRPr="00A20791">
              <w:t xml:space="preserve">1 единица – </w:t>
            </w:r>
            <w:proofErr w:type="gramStart"/>
            <w:r w:rsidRPr="00A20791">
              <w:t>большой</w:t>
            </w:r>
            <w:proofErr w:type="gramEnd"/>
            <w:r w:rsidRPr="00A20791">
              <w:t>;</w:t>
            </w:r>
          </w:p>
          <w:p w:rsidR="00A20791" w:rsidRPr="00A20791" w:rsidRDefault="00A20791" w:rsidP="009D4BB4">
            <w:pPr>
              <w:widowControl w:val="0"/>
              <w:tabs>
                <w:tab w:val="left" w:pos="540"/>
                <w:tab w:val="left" w:pos="1080"/>
              </w:tabs>
              <w:autoSpaceDE w:val="0"/>
              <w:autoSpaceDN w:val="0"/>
              <w:adjustRightInd w:val="0"/>
              <w:jc w:val="center"/>
            </w:pPr>
            <w:r w:rsidRPr="00A20791">
              <w:t>1 единица - малый</w:t>
            </w:r>
          </w:p>
        </w:tc>
        <w:tc>
          <w:tcPr>
            <w:tcW w:w="1465" w:type="dxa"/>
            <w:shd w:val="clear" w:color="auto" w:fill="auto"/>
          </w:tcPr>
          <w:p w:rsidR="00A20791" w:rsidRPr="00A20791" w:rsidRDefault="00A20791" w:rsidP="009D4BB4">
            <w:pPr>
              <w:widowControl w:val="0"/>
              <w:tabs>
                <w:tab w:val="left" w:pos="540"/>
                <w:tab w:val="left" w:pos="1080"/>
              </w:tabs>
              <w:autoSpaceDE w:val="0"/>
              <w:autoSpaceDN w:val="0"/>
              <w:adjustRightInd w:val="0"/>
              <w:jc w:val="center"/>
            </w:pPr>
            <w:r w:rsidRPr="00A20791">
              <w:t>1 единица, большой, 1 единица малый</w:t>
            </w:r>
          </w:p>
        </w:tc>
      </w:tr>
    </w:tbl>
    <w:p w:rsidR="00A20791" w:rsidRPr="00A20791" w:rsidRDefault="00A20791" w:rsidP="00A20791">
      <w:pPr>
        <w:ind w:firstLine="708"/>
        <w:jc w:val="both"/>
        <w:rPr>
          <w:bCs/>
        </w:rPr>
      </w:pPr>
    </w:p>
    <w:p w:rsidR="00A20791" w:rsidRPr="00A20791" w:rsidRDefault="00A20791" w:rsidP="00A20791">
      <w:pPr>
        <w:ind w:firstLine="540"/>
        <w:jc w:val="both"/>
        <w:rPr>
          <w:sz w:val="22"/>
          <w:szCs w:val="22"/>
        </w:rPr>
      </w:pPr>
      <w:r w:rsidRPr="00A20791">
        <w:rPr>
          <w:sz w:val="22"/>
          <w:szCs w:val="22"/>
        </w:rPr>
        <w:t>При этом</w:t>
      </w:r>
      <w:proofErr w:type="gramStart"/>
      <w:r w:rsidRPr="00A20791">
        <w:rPr>
          <w:sz w:val="22"/>
          <w:szCs w:val="22"/>
        </w:rPr>
        <w:t>,</w:t>
      </w:r>
      <w:proofErr w:type="gramEnd"/>
      <w:r w:rsidRPr="00A20791">
        <w:rPr>
          <w:sz w:val="22"/>
          <w:szCs w:val="22"/>
        </w:rPr>
        <w:t xml:space="preserve"> Администрацией предъявляются следующие особые условия для осуществления регулярных пассажирских перевоз на указанных муниципальных маршрутах:</w:t>
      </w:r>
    </w:p>
    <w:p w:rsidR="00A20791" w:rsidRPr="00A20791" w:rsidRDefault="00A20791" w:rsidP="00A20791">
      <w:pPr>
        <w:ind w:firstLine="540"/>
        <w:jc w:val="both"/>
        <w:rPr>
          <w:sz w:val="22"/>
          <w:szCs w:val="22"/>
        </w:rPr>
      </w:pPr>
      <w:r w:rsidRPr="00A20791">
        <w:rPr>
          <w:b/>
          <w:sz w:val="22"/>
          <w:szCs w:val="22"/>
        </w:rPr>
        <w:t>-</w:t>
      </w:r>
      <w:r w:rsidRPr="00A20791">
        <w:rPr>
          <w:b/>
          <w:sz w:val="22"/>
          <w:szCs w:val="22"/>
        </w:rPr>
        <w:tab/>
      </w:r>
      <w:r w:rsidRPr="00A20791">
        <w:rPr>
          <w:sz w:val="22"/>
          <w:szCs w:val="22"/>
        </w:rPr>
        <w:t>круглогодичный режим работы маршрутных транспортных средств на маршрутах и согласованные с Администрацией расписания движения транспортных средств на маршрутах;</w:t>
      </w:r>
    </w:p>
    <w:p w:rsidR="00A20791" w:rsidRPr="00A20791" w:rsidRDefault="00A20791" w:rsidP="00A20791">
      <w:pPr>
        <w:ind w:firstLine="540"/>
        <w:jc w:val="both"/>
        <w:rPr>
          <w:sz w:val="22"/>
          <w:szCs w:val="22"/>
        </w:rPr>
      </w:pPr>
      <w:proofErr w:type="gramStart"/>
      <w:r w:rsidRPr="00A20791">
        <w:rPr>
          <w:b/>
          <w:sz w:val="22"/>
          <w:szCs w:val="22"/>
        </w:rPr>
        <w:t>-</w:t>
      </w:r>
      <w:r w:rsidRPr="00A20791">
        <w:rPr>
          <w:b/>
          <w:sz w:val="22"/>
          <w:szCs w:val="22"/>
        </w:rPr>
        <w:tab/>
      </w:r>
      <w:r w:rsidRPr="00A20791">
        <w:rPr>
          <w:sz w:val="22"/>
          <w:szCs w:val="22"/>
        </w:rPr>
        <w:t>юридическое</w:t>
      </w:r>
      <w:r w:rsidRPr="00A20791">
        <w:rPr>
          <w:b/>
          <w:sz w:val="22"/>
          <w:szCs w:val="22"/>
        </w:rPr>
        <w:t xml:space="preserve"> </w:t>
      </w:r>
      <w:r w:rsidRPr="00A20791">
        <w:rPr>
          <w:sz w:val="22"/>
          <w:szCs w:val="22"/>
        </w:rPr>
        <w:t>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и карты маршрута выданы на период, необходимый для проведения открытого конкурса, предметом которого является право получение свидетельства об осуществлении перевозок по соответствующему муниципальному маршруту регулярных перевозок по результатам открытого конкурса, должны  обеспечить реализацию прав отдельных категорий граждан, в соответствии с действующим законодательством</w:t>
      </w:r>
      <w:proofErr w:type="gramEnd"/>
      <w:r w:rsidRPr="00A20791">
        <w:rPr>
          <w:sz w:val="22"/>
          <w:szCs w:val="22"/>
        </w:rPr>
        <w:t xml:space="preserve">, </w:t>
      </w:r>
      <w:proofErr w:type="gramStart"/>
      <w:r w:rsidRPr="00A20791">
        <w:rPr>
          <w:sz w:val="22"/>
          <w:szCs w:val="22"/>
        </w:rPr>
        <w:t>на льготный проезд на автомобильном транспорте при осуществлении регулярных перевозок по нерегулируемым тарифам по указанным маршрутам, а также имеет право на получение субсидии на возмещение недополученных доходов и финансовое обеспечение затрат, связанных с предоставлением услуг по организации транспортного обслуживания населения городского поселения Кандалакша по указанным маршрутам в соответствии с действующим законодательством.</w:t>
      </w:r>
      <w:proofErr w:type="gramEnd"/>
    </w:p>
    <w:p w:rsidR="00A20791" w:rsidRPr="00A20791" w:rsidRDefault="00A20791" w:rsidP="00A20791">
      <w:pPr>
        <w:ind w:firstLine="567"/>
        <w:jc w:val="both"/>
        <w:rPr>
          <w:sz w:val="22"/>
          <w:szCs w:val="22"/>
        </w:rPr>
      </w:pPr>
      <w:r w:rsidRPr="00A20791">
        <w:rPr>
          <w:sz w:val="22"/>
          <w:szCs w:val="22"/>
        </w:rPr>
        <w:t xml:space="preserve">Подробные сведения о муниципальных маршрутах регулярных перевозок, предлагаемых для временного обслуживания (осуществления регулярных пассажирских перевозок) содержатся в </w:t>
      </w:r>
      <w:r w:rsidRPr="00A20791">
        <w:rPr>
          <w:bCs/>
          <w:sz w:val="22"/>
          <w:szCs w:val="22"/>
        </w:rPr>
        <w:t xml:space="preserve">конкурсной документации, размещенной на </w:t>
      </w:r>
      <w:r w:rsidRPr="00A20791">
        <w:rPr>
          <w:sz w:val="22"/>
          <w:szCs w:val="22"/>
        </w:rPr>
        <w:t xml:space="preserve">сайте Администрации по адресу: </w:t>
      </w:r>
      <w:hyperlink r:id="rId5" w:history="1">
        <w:r w:rsidRPr="00A20791">
          <w:rPr>
            <w:color w:val="0000FF"/>
            <w:sz w:val="22"/>
            <w:szCs w:val="22"/>
            <w:u w:val="single"/>
          </w:rPr>
          <w:t>http://www.kandalaksha-admin.ru/index.php?option=com_content&amp;view=category&amp;layout=blog&amp;id=301&amp;Itemid=894</w:t>
        </w:r>
      </w:hyperlink>
      <w:r w:rsidRPr="00A20791">
        <w:rPr>
          <w:sz w:val="22"/>
          <w:szCs w:val="22"/>
        </w:rPr>
        <w:t>.</w:t>
      </w:r>
    </w:p>
    <w:p w:rsidR="00A20791" w:rsidRPr="00A20791" w:rsidRDefault="00A20791" w:rsidP="00A20791">
      <w:pPr>
        <w:jc w:val="both"/>
        <w:rPr>
          <w:sz w:val="22"/>
          <w:szCs w:val="22"/>
        </w:rPr>
      </w:pPr>
    </w:p>
    <w:p w:rsidR="00A20791" w:rsidRPr="00A20791" w:rsidRDefault="00A20791">
      <w:pPr>
        <w:rPr>
          <w:sz w:val="22"/>
          <w:szCs w:val="22"/>
        </w:rPr>
      </w:pPr>
    </w:p>
    <w:sectPr w:rsidR="00A20791" w:rsidRPr="00A20791" w:rsidSect="00A2079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E6"/>
    <w:rsid w:val="004226E6"/>
    <w:rsid w:val="007217BD"/>
    <w:rsid w:val="00A20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ndalaksha-admin.ru/index.php?option=com_content&amp;view=category&amp;layout=blog&amp;id=301&amp;Itemid=8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Зелепугин</dc:creator>
  <cp:keywords/>
  <dc:description/>
  <cp:lastModifiedBy>Андрей В. Зелепугин</cp:lastModifiedBy>
  <cp:revision>2</cp:revision>
  <dcterms:created xsi:type="dcterms:W3CDTF">2020-06-23T09:24:00Z</dcterms:created>
  <dcterms:modified xsi:type="dcterms:W3CDTF">2020-06-23T09:25:00Z</dcterms:modified>
</cp:coreProperties>
</file>